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3.2.3, setting out its findings.  Those findings shall be required to:</w:t>
      </w:r>
    </w:p>
    <w:p w:rsidR="00000000" w:rsidDel="00000000" w:rsidP="00000000" w:rsidRDefault="00000000" w:rsidRPr="00000000" w14:paraId="0000003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pgMar w:bottom="1440" w:top="1440" w:left="1440" w:right="1440" w:header="709" w:footer="709"/>
          <w:pgNumType w:start="1"/>
          <w:cols w:equalWidth="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DfbOBQZBVK+z45A1no0TFBY79g==">AMUW2mVai7Qr3Gck8Csfhlg8B30XreHdQri4LJafFroFUHM2+O8NRRGELsF98NW+EHuoIcUUWAEtUJyFG010OUEIIegKhRrTlOljwBWPD7KdAh0RKhw4si8fsidx/4/7DtexOZmvg97YW2n9MSv8tE7YY2GAeRC+iBoaoZzWN5k2KytHxDZ+3AfFmP/lgnxuf8FPIiYSvzcE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